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D53F53">
            <w:pPr>
              <w:pStyle w:val="Heading5"/>
              <w:tabs>
                <w:tab w:val="center" w:pos="1680"/>
                <w:tab w:val="center" w:pos="6240"/>
              </w:tabs>
              <w:jc w:val="center"/>
              <w:rPr>
                <w:sz w:val="26"/>
              </w:rPr>
            </w:pPr>
            <w:r>
              <w:rPr>
                <w:sz w:val="26"/>
              </w:rPr>
              <w:t>HỘI ĐỒNG THUỐC VÀ ĐIỀU TRỊ</w:t>
            </w:r>
          </w:p>
          <w:p w:rsidR="00C84310" w:rsidRPr="002F4532" w:rsidRDefault="004F4AE2" w:rsidP="00D53F53">
            <w:pPr>
              <w:jc w:val="center"/>
              <w:rPr>
                <w:b/>
              </w:rPr>
            </w:pPr>
            <w:r>
              <w:rPr>
                <w:noProof/>
                <w:spacing w:val="-10"/>
                <w:sz w:val="26"/>
              </w:rPr>
              <mc:AlternateContent>
                <mc:Choice Requires="wps">
                  <w:drawing>
                    <wp:anchor distT="4294967295" distB="4294967295" distL="114300" distR="114300" simplePos="0" relativeHeight="251657216" behindDoc="0" locked="0" layoutInCell="1" allowOverlap="1">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D53F53">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4F4AE2" w:rsidP="00D53F53">
            <w:pPr>
              <w:pStyle w:val="Heading5"/>
              <w:tabs>
                <w:tab w:val="center" w:pos="1680"/>
                <w:tab w:val="center" w:pos="6240"/>
              </w:tabs>
              <w:jc w:val="center"/>
              <w:rPr>
                <w:b/>
                <w:spacing w:val="-10"/>
                <w:sz w:val="26"/>
              </w:rPr>
            </w:pPr>
            <w:r>
              <w:rPr>
                <w:b/>
                <w:noProof/>
                <w:spacing w:val="-10"/>
              </w:rPr>
              <mc:AlternateContent>
                <mc:Choice Requires="wps">
                  <w:drawing>
                    <wp:anchor distT="4294967295" distB="4294967295" distL="114300" distR="114300" simplePos="0" relativeHeight="251658240" behindDoc="0" locked="0" layoutInCell="1" allowOverlap="1">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D53F53">
            <w:pPr>
              <w:pStyle w:val="Heading5"/>
              <w:tabs>
                <w:tab w:val="center" w:pos="1680"/>
                <w:tab w:val="center" w:pos="6240"/>
              </w:tabs>
              <w:jc w:val="center"/>
              <w:rPr>
                <w:spacing w:val="-10"/>
                <w:sz w:val="26"/>
              </w:rPr>
            </w:pPr>
          </w:p>
        </w:tc>
      </w:tr>
    </w:tbl>
    <w:p w:rsidR="00212D3E" w:rsidRDefault="005B110A" w:rsidP="00620BF1">
      <w:pPr>
        <w:rPr>
          <w:b/>
          <w:szCs w:val="28"/>
        </w:rPr>
      </w:pPr>
      <w:r>
        <w:rPr>
          <w:b/>
          <w:szCs w:val="28"/>
        </w:rPr>
        <w:t xml:space="preserve">      </w:t>
      </w:r>
      <w:r w:rsidR="00620BF1">
        <w:rPr>
          <w:b/>
          <w:szCs w:val="28"/>
        </w:rPr>
        <w:t xml:space="preserve">                             </w:t>
      </w:r>
      <w:r w:rsidR="00576835" w:rsidRPr="0022213F">
        <w:rPr>
          <w:b/>
          <w:szCs w:val="28"/>
        </w:rPr>
        <w:t xml:space="preserve">THÔNG TIN THUỐC THÁNG </w:t>
      </w:r>
      <w:r w:rsidR="00DC3783">
        <w:rPr>
          <w:b/>
          <w:szCs w:val="28"/>
        </w:rPr>
        <w:t>1</w:t>
      </w:r>
      <w:r w:rsidR="00BC46E9">
        <w:rPr>
          <w:b/>
          <w:szCs w:val="28"/>
        </w:rPr>
        <w:t>1</w:t>
      </w:r>
      <w:r w:rsidR="004B36CA">
        <w:rPr>
          <w:b/>
          <w:szCs w:val="28"/>
        </w:rPr>
        <w:t>/202</w:t>
      </w:r>
      <w:r w:rsidR="00FB1AAB">
        <w:rPr>
          <w:b/>
          <w:szCs w:val="28"/>
        </w:rPr>
        <w:t>2</w:t>
      </w:r>
    </w:p>
    <w:p w:rsidR="00BC46E9" w:rsidRPr="00BC46E9" w:rsidRDefault="00BC46E9" w:rsidP="00C26C32">
      <w:pPr>
        <w:spacing w:after="0" w:line="240" w:lineRule="auto"/>
        <w:jc w:val="both"/>
        <w:rPr>
          <w:rFonts w:eastAsia="Times New Roman" w:cs="Times New Roman"/>
          <w:bCs/>
          <w:color w:val="006666"/>
          <w:szCs w:val="28"/>
        </w:rPr>
      </w:pPr>
      <w:r w:rsidRPr="00144444">
        <w:rPr>
          <w:rFonts w:eastAsia="Times New Roman" w:cs="Times New Roman"/>
          <w:bCs/>
          <w:color w:val="006666"/>
          <w:szCs w:val="28"/>
          <w:highlight w:val="yellow"/>
        </w:rPr>
        <w:t>I.</w:t>
      </w:r>
      <w:r w:rsidRPr="00BC46E9">
        <w:rPr>
          <w:rFonts w:eastAsia="Times New Roman" w:cs="Times New Roman"/>
          <w:bCs/>
          <w:color w:val="006666"/>
          <w:szCs w:val="28"/>
          <w:highlight w:val="yellow"/>
        </w:rPr>
        <w:t>WHO: Thuốc ức chế cholinesterase - Nguy cơ kéo dài khoảng QT và xoắn đỉnh</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Bộ Y tế Canada đã thông báo về thông tin an toàn đối với các sản phẩm của chất ức chế enzym cholinesterase (các sản phẩm chứa donepezil-, rivastigmine- và galantamine) sẽ được cập nhật bổ sung nguy cơ kéo dài khoảng QT và xoắn đỉnh.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Các chất ức chế cholinesterase này được chỉ định trong điều trị chứng sa sút trí tuệ liên quan đến bệnh Alzheimer và/hoặc bệnh Parkinson.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Bộ Y tế Canada đã xem xét 53 trường hợp báo cáo (1 người Canada, 52 người nước ngoài khác) về kéo dài khoảng QT và xoắn đỉnh ở bệnh nhân dùng thuốc ức chế enzym cholinesterase và nhận thấy rằng: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 Đối với donepezil (35 báo cáo), 2 trường hợp được được đánh giá là “có khả năng”, 30 trường hợp “có thể”, 2 trường hợp “không chắc chắn” và 1 trường hợp không thể đánh giá được. Bốn trường hợp tử vong đã được báo cáo (hai trong số đó được đánh giá là “có thể” và hai trường hợp “không chắc chắn”).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 Đối với galantamine (10 báo cáo trong đó có một trường hợp của Canada), 3 trường hợp được đánh giá là “có khả năng”, 5 trường hợp “có thể”, 1 trường hợp “không chắc chắn” và 1 trường hợp không thể đánh giá được (Canada). Một trường hợp tử vong đã được báo cáo và đánh giá “không chắc chắn”.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 Đối với rivastigmine (8 báo cáo), 7 trường hợp được đánh giá “có khả năng” và 1 trường hợp “không chắc chắn”.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Bộ Y tế Canada cũng đã xem xét 20 bài báo khoa học có bằng chứng. Các đánh giá của Bộ Y tế Canada đã xác định có mối liên hệ giữa việc sử dụng cả ba chất ức chế cholinesterase và nguy cơ kéo dài khoảng QT và xoắn đỉnh.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Các nhân viên y tế được khuyến cáo rằng nguy cơ này tăng lên ở những bệnh nhân có tiền sử bệnh tim; tiền sử gia đình về kéo dài khoảng QT; thiếu một số chất điện giải, chẳng hạn như magie, kali hoặc calci trong máu; hoặc dùng một số loại thuốc có thể ảnh hưởng đến nhịp tim đồng thời với thuốc ức chế enzym cholinesterase. </w:t>
      </w:r>
    </w:p>
    <w:p w:rsidR="00C26C32" w:rsidRPr="00144444" w:rsidRDefault="00BC46E9" w:rsidP="00C26C32">
      <w:pPr>
        <w:spacing w:after="0" w:line="240" w:lineRule="auto"/>
        <w:jc w:val="both"/>
        <w:rPr>
          <w:rFonts w:eastAsia="Times New Roman" w:cs="Times New Roman"/>
          <w:bCs/>
          <w:color w:val="006666"/>
          <w:szCs w:val="28"/>
        </w:rPr>
      </w:pPr>
      <w:r w:rsidRPr="00144444">
        <w:rPr>
          <w:rFonts w:cs="Times New Roman"/>
          <w:szCs w:val="28"/>
          <w:highlight w:val="yellow"/>
        </w:rPr>
        <w:t xml:space="preserve">II. </w:t>
      </w:r>
      <w:r w:rsidRPr="00144444">
        <w:rPr>
          <w:rFonts w:eastAsia="Times New Roman" w:cs="Times New Roman"/>
          <w:bCs/>
          <w:color w:val="006666"/>
          <w:szCs w:val="28"/>
          <w:highlight w:val="yellow"/>
        </w:rPr>
        <w:t>ANSM: Các phản ứng có hại củ</w:t>
      </w:r>
      <w:r w:rsidR="00C26C32" w:rsidRPr="00144444">
        <w:rPr>
          <w:rFonts w:eastAsia="Times New Roman" w:cs="Times New Roman"/>
          <w:bCs/>
          <w:color w:val="006666"/>
          <w:szCs w:val="28"/>
          <w:highlight w:val="yellow"/>
        </w:rPr>
        <w:t>a kháng sinh nhóm fluoroquinolon</w:t>
      </w:r>
    </w:p>
    <w:p w:rsidR="00BC46E9" w:rsidRPr="00BC46E9" w:rsidRDefault="00BC46E9" w:rsidP="00C26C32">
      <w:pPr>
        <w:spacing w:after="0" w:line="240" w:lineRule="auto"/>
        <w:ind w:firstLine="720"/>
        <w:jc w:val="both"/>
        <w:rPr>
          <w:rFonts w:eastAsia="Times New Roman" w:cs="Times New Roman"/>
          <w:bCs/>
          <w:color w:val="006666"/>
          <w:szCs w:val="28"/>
        </w:rPr>
      </w:pPr>
      <w:r w:rsidRPr="00BC46E9">
        <w:rPr>
          <w:rFonts w:eastAsia="Times New Roman" w:cs="Times New Roman"/>
          <w:color w:val="414141"/>
          <w:szCs w:val="28"/>
        </w:rPr>
        <w:t>Fluoroquinolon là kháng sinh được sử dụng trong điều trị nhiễm khuẩn nghiêm trọng. Tương tự các thuốc khác, nhóm thuốc này có các phản ứng có hại. Một số phản ứng nghiêm trọng và không hồi phục như tổn thương thần kinh (bệnh thần kinh ngoại biên), rối loạn tâm thần, bệnh cơ xương (đau nhức các khớp, viêm hoặc đứt gân, đau yếu cơ). EMA đã đánh giá lại lợi ích – nguy cơ của flouroquinolon năm 2018-2019, đưa đến quyết định hạn chế chỉ định và cập nhật hồ sơ an toàn của nhóm thuốc này.</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lastRenderedPageBreak/>
        <w:t>Trong quá trình cập nhật hồ sơ an toàn của fluoroquinolon, đã có các báo cáo các phản ứng có hại hiếm gặp nhưng nghiêm trọng trên tim mạch được ghi nhận trong năm 2018 và 2020 (phình động mạch và bóc tách động mạch chủ, hở van/ suy van tim).</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color w:val="414141"/>
          <w:szCs w:val="28"/>
        </w:rPr>
        <w:t>Lưu ý</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Điều trị một số loại nhiễm khuẩn có thể bắt buộc sử dụng fluoroquinolon.</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Tuy nhiên, nhóm thuốc này chỉ được kê sau khi đã đánh giá kỹ lợi ích và nguy cơ gặp phản ứng có hại, và sau khi đã thông tin cho bệnh nhân.</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Nhân viên y tế và bệnh nhân cần lưu ý thận trọng khi sử dụng fluoroquinolon, cũng như những dấu hiệu cảnh báo, cần làm gì khi thấy triệu chứng tiềm tàng của các phản ứng nghiêm trọng. Một số trường hợp hiếm gặp cần có trợ giúp y tế khẩn cấp.</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Tại thời điểm bác sĩ kê đơn và dược sĩ cấp phát thuốc, bệnh nhân cần được biết thông tin liên lạc của nhân viên y tế khi xuất hiện triệu chứng phản ứng có hại dưới đây.</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color w:val="414141"/>
          <w:szCs w:val="28"/>
        </w:rPr>
        <w:t>Fluoroquinolon là gì?</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Các hoạt chất của nhóm kháng sinh này bao gồm:</w:t>
      </w:r>
    </w:p>
    <w:p w:rsidR="00144444"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Ciprofloxacin</w:t>
      </w:r>
      <w:r w:rsidR="00144444">
        <w:rPr>
          <w:rFonts w:eastAsia="Times New Roman" w:cs="Times New Roman"/>
          <w:color w:val="414141"/>
          <w:szCs w:val="28"/>
        </w:rPr>
        <w:t xml:space="preserve">          </w:t>
      </w:r>
      <w:r w:rsidRPr="00BC46E9">
        <w:rPr>
          <w:rFonts w:eastAsia="Times New Roman" w:cs="Times New Roman"/>
          <w:color w:val="414141"/>
          <w:szCs w:val="28"/>
        </w:rPr>
        <w:t>- Levofloxacin</w:t>
      </w:r>
      <w:r w:rsidR="00144444">
        <w:rPr>
          <w:rFonts w:eastAsia="Times New Roman" w:cs="Times New Roman"/>
          <w:color w:val="414141"/>
          <w:szCs w:val="28"/>
        </w:rPr>
        <w:t xml:space="preserve">         </w:t>
      </w:r>
      <w:r w:rsidRPr="00BC46E9">
        <w:rPr>
          <w:rFonts w:eastAsia="Times New Roman" w:cs="Times New Roman"/>
          <w:color w:val="414141"/>
          <w:szCs w:val="28"/>
        </w:rPr>
        <w:t>- Ofloxacin</w:t>
      </w:r>
      <w:r w:rsidR="00144444">
        <w:rPr>
          <w:rFonts w:eastAsia="Times New Roman" w:cs="Times New Roman"/>
          <w:color w:val="414141"/>
          <w:szCs w:val="28"/>
        </w:rPr>
        <w:t xml:space="preserve">                              </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Norfloxacin</w:t>
      </w:r>
      <w:r w:rsidR="00144444">
        <w:rPr>
          <w:rFonts w:eastAsia="Times New Roman" w:cs="Times New Roman"/>
          <w:color w:val="414141"/>
          <w:szCs w:val="28"/>
        </w:rPr>
        <w:t xml:space="preserve">             </w:t>
      </w:r>
      <w:r w:rsidRPr="00BC46E9">
        <w:rPr>
          <w:rFonts w:eastAsia="Times New Roman" w:cs="Times New Roman"/>
          <w:color w:val="414141"/>
          <w:szCs w:val="28"/>
        </w:rPr>
        <w:t>- Moxifloxacin</w:t>
      </w:r>
      <w:r w:rsidR="00144444">
        <w:rPr>
          <w:rFonts w:eastAsia="Times New Roman" w:cs="Times New Roman"/>
          <w:color w:val="414141"/>
          <w:szCs w:val="28"/>
        </w:rPr>
        <w:t xml:space="preserve">        </w:t>
      </w:r>
      <w:r w:rsidRPr="00BC46E9">
        <w:rPr>
          <w:rFonts w:eastAsia="Times New Roman" w:cs="Times New Roman"/>
          <w:color w:val="414141"/>
          <w:szCs w:val="28"/>
        </w:rPr>
        <w:t>- Lomefloxacin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Delafloxacin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color w:val="414141"/>
          <w:szCs w:val="28"/>
        </w:rPr>
        <w:t>Fluoroquinolon được sử dụng trong trường hợp nào?</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Fluoroquinolon được chỉ định trong điều trị một số loại nhiễm khuẩn nghiêm trọng, một số có thể đe dọa tính mạng. Nhóm kháng sinh này chỉ nên sử dụng khi thật sự cần thiết.</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Fluoroquinolon không nên được chỉ định trong: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Điều trị nhiễm khuẩn không nghiêm trọng hoặc có thể tự khỏi (self-limiting).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Dự phòng tiêu chảy du lịch hoặc nhiễm khuẩn đường tiết niệu dưới tái phát.</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Điều trị nhiễm khuẩn không do vi khuẩn, như viêm tuyến tiền liệt mãn tính không do vi khuẩn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Điều trị nhiễm khuẩn nhẹ đến trung bình (viêm bàng quang không biến chứng, đợt cấp viêm phế quản mạn, bệnh phổi tắc nghẽn mạn tính COPD, viêm xoang cấp tính do vi khuẩn và viêm tai giữa cấp tính)</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Bệnh nhân gặp các phản ứng có hại nghiêm trọng khi sử dụng kháng sinh quinolon/fluoroquinolon.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00C26C32" w:rsidRPr="00144444">
        <w:rPr>
          <w:rFonts w:eastAsia="Times New Roman" w:cs="Times New Roman"/>
          <w:color w:val="414141"/>
          <w:szCs w:val="28"/>
        </w:rPr>
        <w:tab/>
      </w:r>
      <w:r w:rsidRPr="00BC46E9">
        <w:rPr>
          <w:rFonts w:eastAsia="Times New Roman" w:cs="Times New Roman"/>
          <w:color w:val="414141"/>
          <w:szCs w:val="28"/>
        </w:rPr>
        <w:t>Hạn chế chỉ định đã được đưa ra từ năm 2019, sau khi đánh giá lại các phản ứng có hại nghiêm trọng của fluoroquinolon tại châu Âu.</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Tuy nhiên, fluoroquinolon vẫn cần thiết trong một số trường hợp, và việc không sử dụng fluoroquinolon có thể không tối ưu trong điều trị cho bệnh nhân.</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Cuối cùng, cần sử dụng hợp lý fluoroquinolon theo Hướng dẫn điều trị. Cần xem xét tiền sử sử dụng kháng sinh của bệnh nhân và tuân thủ chỉ định nghiêm ngặt.</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Trên trẻ em, chỉ sử dụng fluoroquinolon cho nhiễm khuẩn đã xác định căn nguyên và đã hội chẩn bác sĩ nhi khoa truyền nhiễm.</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lastRenderedPageBreak/>
        <w:t> </w:t>
      </w:r>
      <w:r w:rsidRPr="00144444">
        <w:rPr>
          <w:rFonts w:eastAsia="Times New Roman" w:cs="Times New Roman"/>
          <w:bCs/>
          <w:color w:val="414141"/>
          <w:szCs w:val="28"/>
        </w:rPr>
        <w:t>Các phản ứng có hại tiềm ẩn của fluoroquinolon là gì?</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Việc sử dụng fluoroquinolon có thể liên quan đến một số phản ứng có hại nghiêm trọng và không hồi phục.</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Trước khi sử dụng fluoroquinolon, bệnh nhân cần được thông tin đầy đủ về các phản ứng có hại tiềm ẩn của nhóm kháng sinh này.</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Tùy vào từng trường hợp, bệnh nhân cần khám tổng quát để hiểu rõ hơn về phản ứng có hại đang gặp phải, do chúng có thể liên quan đến các thuốc đang sử dụng.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i/>
          <w:iCs/>
          <w:color w:val="414141"/>
          <w:szCs w:val="28"/>
        </w:rPr>
        <w:t>1. Tổn thương gân</w:t>
      </w:r>
    </w:p>
    <w:p w:rsidR="00BC46E9" w:rsidRPr="00BC46E9" w:rsidRDefault="00BC46E9" w:rsidP="00C26C32">
      <w:pPr>
        <w:spacing w:after="0" w:line="240" w:lineRule="auto"/>
        <w:ind w:firstLine="720"/>
        <w:jc w:val="both"/>
        <w:rPr>
          <w:rFonts w:eastAsia="Times New Roman" w:cs="Times New Roman"/>
          <w:color w:val="414141"/>
          <w:szCs w:val="28"/>
        </w:rPr>
      </w:pPr>
      <w:r w:rsidRPr="00BC46E9">
        <w:rPr>
          <w:rFonts w:eastAsia="Times New Roman" w:cs="Times New Roman"/>
          <w:color w:val="414141"/>
          <w:szCs w:val="28"/>
        </w:rPr>
        <w:t>Tổn thương gân là gân bị viêm và yếu có thể dẫn tới đứt gân. Tổn thương này có thể có ở mọi gân (vai, cùi chỏ, đầu gối, hông), đặc biệt gân Achilles (ở gót chân/ mắt cá chân) dễ gặp tổn thương nhất.</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Tổn thương gân gây đau đớn khi vận động (co và giãn cơ), sờ thấy gân dày lên hoặc có cục ở gân.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Tránh sử dụng đồng thời corticosteroid và fluoroquinolon do tăng nguy cơ tổn thương gân.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Cần thận trọng khi sử dụng thuốc trên người cao tuổi, bệnh nhân suy giảm chức năng thận, bệnh nhân ghép tạng, người vận động thể thao mạnh hoặc vận động trở lại sau khi nằm quá lâu, do nguy cơ viêm gân và đứt gân cao hơn trên những đối tượng này.</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i/>
          <w:iCs/>
          <w:color w:val="414141"/>
          <w:szCs w:val="28"/>
        </w:rPr>
        <w:t>2. Rối loạn tim mạch</w:t>
      </w:r>
    </w:p>
    <w:p w:rsidR="00BC46E9" w:rsidRPr="00BC46E9" w:rsidRDefault="00BC46E9" w:rsidP="00C26C32">
      <w:pPr>
        <w:spacing w:after="0" w:line="240" w:lineRule="auto"/>
        <w:jc w:val="both"/>
        <w:rPr>
          <w:rFonts w:eastAsia="Times New Roman" w:cs="Times New Roman"/>
          <w:color w:val="414141"/>
          <w:szCs w:val="28"/>
        </w:rPr>
      </w:pPr>
      <w:r w:rsidRPr="00144444">
        <w:rPr>
          <w:rFonts w:eastAsia="Times New Roman" w:cs="Times New Roman"/>
          <w:i/>
          <w:iCs/>
          <w:color w:val="414141"/>
          <w:szCs w:val="28"/>
        </w:rPr>
        <w:t>Loạn nhịp tim</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Fluoroquinolon có thể gây loạn nhịp tim, có thể thấy qua điện tâm đồ (kéo dài khoảng QT). Triệu chứng là đánh trống ngực, cảm giác tim đập nhanh hoặc loạn nhịp tim.</w:t>
      </w:r>
    </w:p>
    <w:p w:rsidR="00BC46E9" w:rsidRPr="00BC46E9" w:rsidRDefault="00BC46E9" w:rsidP="00C26C32">
      <w:pPr>
        <w:spacing w:after="0" w:line="240" w:lineRule="auto"/>
        <w:jc w:val="both"/>
        <w:rPr>
          <w:rFonts w:eastAsia="Times New Roman" w:cs="Times New Roman"/>
          <w:color w:val="414141"/>
          <w:szCs w:val="28"/>
        </w:rPr>
      </w:pPr>
      <w:r w:rsidRPr="00144444">
        <w:rPr>
          <w:rFonts w:eastAsia="Times New Roman" w:cs="Times New Roman"/>
          <w:i/>
          <w:iCs/>
          <w:color w:val="414141"/>
          <w:szCs w:val="28"/>
        </w:rPr>
        <w:t>Phình động mạch và bóc tách động mạch chủ</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Đây là những rối loạn nghiêm trọng nhưng hiếm gặp, với triệu chứng là đau nhói và dữ dội vùng bụng, ngực hoặc lưng.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Các yếu tố tiên lượng phình động mạch và bóc tách động mạch chủ bao gồm tiền sử gia đình mắc chứng phình động mạch hoặc tiền sử từng mắc, hội chứng Marfan, hội chứng mạch máu Ehlers-Danlos, viêm động mạch Takayasu, viêm động mạch tế bào khổng lồ (bệnh Horton), bệnh Behçet, tăng huyết áp và xơ vữa động mạch.</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Với những bệnh nhân có nguy cơ phình động mạch và bóc tách động mạch chủ, chỉ sử dụng fluoroquinolon sau khi đã đánh giá kỹ lợi ích/ nguy cơ và cân nhắc các thuốc thay thế.</w:t>
      </w:r>
    </w:p>
    <w:p w:rsidR="00BC46E9" w:rsidRPr="00BC46E9" w:rsidRDefault="00BC46E9" w:rsidP="00C26C32">
      <w:pPr>
        <w:spacing w:after="0" w:line="240" w:lineRule="auto"/>
        <w:jc w:val="both"/>
        <w:rPr>
          <w:rFonts w:eastAsia="Times New Roman" w:cs="Times New Roman"/>
          <w:color w:val="414141"/>
          <w:szCs w:val="28"/>
        </w:rPr>
      </w:pPr>
      <w:r w:rsidRPr="00144444">
        <w:rPr>
          <w:rFonts w:eastAsia="Times New Roman" w:cs="Times New Roman"/>
          <w:i/>
          <w:iCs/>
          <w:color w:val="414141"/>
          <w:szCs w:val="28"/>
        </w:rPr>
        <w:t>Hở van và/ hoặc suy van tim</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Fluoroquinolon có thể làm tăng nguy cơ hở van/ suy van tim.</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Triệu chứng gồm khó thở, đặc biệt khi nằm xuống, sưng phù mắt cá chân, bàn chân hoặc vùng bụng.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Những yếu tố nguy cơ gồm bệnh van tim bẩm sinh, bệnh mô liên kết (hội chứng Marfan hoặc hội chứng Ehlers-Danlos), hội chứng Turner, bệnh Behçet, tăng huyết áp, viêm khớp dạng thấp và nhiễm khuẩn nội tâm mạc.</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lastRenderedPageBreak/>
        <w:t>Với những bệnh nhân có nguy cơ hở van/ suy van tim, chỉ sử dụng fluoroquinolon sau khi đã đánh giá kỹ lợi ích/ nguy cơ và cân nhắc các thuốc thay thế.</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i/>
          <w:iCs/>
          <w:color w:val="414141"/>
          <w:szCs w:val="28"/>
        </w:rPr>
        <w:t>3. Bệnh thần kinh ngoại biên (tổn thương thần kinh)</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Bệnh thần kinh ngoại biên là tổn thương thần kinh vận động hoặc cảm giác liên kết với thần kinh trung ương (não và tủy sống). Triệu chứng gồm cảm giác bỏng rát, ngứa ran, đau hoặc tê tay chân.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i/>
          <w:iCs/>
          <w:color w:val="414141"/>
          <w:szCs w:val="28"/>
        </w:rPr>
        <w:t>4. Bệnh nhạy cảm ánh sáng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Đây là phản ứng trên da xuất hiện dưới ánh nắng mặt trời hoặc tia cực tím trong quá trình điều trị và sẽ hết sau vài ngày. Để tránh những triệu chứng trên, bệnh nhân cần tránh ánh nắng mặt trời (sử dụng quần áo, mũ,…) và tránh tia cực tím nhân tạo (đèn tắm nắng, nhà tắm nắng).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i/>
          <w:iCs/>
          <w:color w:val="414141"/>
          <w:szCs w:val="28"/>
        </w:rPr>
        <w:t>5. Bệnh thần kinh – tâm thần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Các phản ứng có hại nghiêm trọng gồm lú lẫn, mất phương hướng, rối loạn giác quan (giảm thị giác, vị giác, khứu giác và thính giác), đau đầu, choáng váng, thậm chí ngã (với người cao tuổi), vấn đề hành vi, trầm cảm, vấn đề trí nhớ, mệt mỏi và rối loạn giấc ngủ nghiêm trọng.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color w:val="414141"/>
          <w:szCs w:val="28"/>
        </w:rPr>
        <w:t>Thời gian khởi phát và kéo dài của phản ứng có hại</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Thời gian khởi phát và kéo dài của phản ứng có hại phụ thuộc vào loại phản ứng và từng người bệnh.</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Triệu chứng có thể xuất hiện sau 48 giờ điều trị và kéo dài nhiều tháng sau khi đã ngừng thuốc.</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Thời gian kéo dài của mỗi phản ứng có hại khác nhau giữa các bệnh nhân. Nhiều phản ứng có hại có thể còn sau khi đã ngừng điều trị, tuy nhiên phần lớn mất đi.</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w:t>
      </w:r>
      <w:r w:rsidRPr="00144444">
        <w:rPr>
          <w:rFonts w:eastAsia="Times New Roman" w:cs="Times New Roman"/>
          <w:bCs/>
          <w:color w:val="414141"/>
          <w:szCs w:val="28"/>
        </w:rPr>
        <w:t>Cần làm gì khi gặp phản ứng có hại?</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Bệnh nhân và người chăm sóc cần được thông báo về nguy cơ gặp phản ứng có hại nghiêm trọng khi được kê đơn và cấp phát thuốc fluoroquinolon.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Bệnh nhân nên đọc tờ hướng dẫn sử dụng của thuốc và thảo luận thắc mắc với bác sĩ.</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Cần liên hệ với bác sĩ ngay khi xuất hiện những triệu chứng sau:</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Sưng đau các gân hoặc khớp</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Đau bất thường và/ hoặc yếu tay chân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Đánh trống ngực, cảm giác loạn nhịp tim hoặc nhịp tim nhanh</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Khó thở, sưng phù chân</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Giảm thị lực hoặc có bất kỳ rối loạn thị giác</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Mẩn đỏ, kích ứng, ngứa da, đặc biệt khi dưới ánh nắng mặt trời hoặc tia cực tím nhân tạo (đèn tắm nắng, nhà tắm nắng,…)</w:t>
      </w:r>
    </w:p>
    <w:p w:rsidR="00BC46E9" w:rsidRPr="00BC46E9" w:rsidRDefault="00BC46E9" w:rsidP="00C26C32">
      <w:pPr>
        <w:spacing w:after="0" w:line="240" w:lineRule="auto"/>
        <w:jc w:val="both"/>
        <w:rPr>
          <w:rFonts w:eastAsia="Times New Roman" w:cs="Times New Roman"/>
          <w:color w:val="414141"/>
          <w:szCs w:val="28"/>
        </w:rPr>
      </w:pPr>
      <w:r w:rsidRPr="00BC46E9">
        <w:rPr>
          <w:rFonts w:eastAsia="Times New Roman" w:cs="Times New Roman"/>
          <w:color w:val="414141"/>
          <w:szCs w:val="28"/>
        </w:rPr>
        <w:t>- Khi xuất hiện đau nhói và dữ dội vùng bụng, ngực hoặc lưng, cần đến bệnh viện ngay lập tức.</w:t>
      </w:r>
    </w:p>
    <w:p w:rsidR="00C26C32" w:rsidRPr="00144444" w:rsidRDefault="00C26C32" w:rsidP="00C26C32">
      <w:pPr>
        <w:spacing w:after="0" w:line="240" w:lineRule="auto"/>
        <w:jc w:val="both"/>
        <w:rPr>
          <w:rFonts w:cs="Times New Roman"/>
          <w:szCs w:val="28"/>
        </w:rPr>
      </w:pPr>
      <w:r w:rsidRPr="00144444">
        <w:rPr>
          <w:rFonts w:cs="Times New Roman"/>
          <w:szCs w:val="28"/>
          <w:highlight w:val="yellow"/>
        </w:rPr>
        <w:t>III.</w:t>
      </w:r>
      <w:r w:rsidRPr="00144444">
        <w:rPr>
          <w:rFonts w:cs="Times New Roman"/>
          <w:szCs w:val="28"/>
          <w:highlight w:val="yellow"/>
        </w:rPr>
        <w:t>TƯƠNG TÁC GIỮA SPIRONOLACTON VÀ CÁC THUỐC TÁC ĐỘNG TRÊN HỆ RENIN – ANGIOTENSIN: QUẢN LÝ NGUY CƠ TRONG THỰC HÀNH LÂM SÀNG</w:t>
      </w:r>
    </w:p>
    <w:p w:rsidR="00C26C32" w:rsidRPr="00144444" w:rsidRDefault="00C26C32" w:rsidP="00C26C32">
      <w:pPr>
        <w:spacing w:after="0" w:line="240" w:lineRule="auto"/>
        <w:ind w:firstLine="720"/>
        <w:jc w:val="both"/>
        <w:rPr>
          <w:rFonts w:cs="Times New Roman"/>
          <w:szCs w:val="28"/>
        </w:rPr>
      </w:pPr>
      <w:r w:rsidRPr="00144444">
        <w:rPr>
          <w:rFonts w:cs="Times New Roman"/>
          <w:szCs w:val="28"/>
        </w:rPr>
        <w:lastRenderedPageBreak/>
        <w:t>Tăng kali máu được xác định khi nồng độ kali máu ≥ 5,0 mmol/L. Nồng độ kali máu &gt; 7,0 mmol/L cần xử trí cấp cứu y khoa ngay do nguy cơ ngừng tim [1]. Thuốc là một trong các nguyên nhân chính làm tăng nồng độ kali máu, với cơ chế rất đa dạng như giảm thải trừ kali qua thận, thay đổi vận chuyển kali qua màng hoặc do bổ sung kali… [2]. Việc sử dụng đồng thời các thuốc này làm tăng nguy cơ tăng kali máu trên bệnh nhân. Tuy nhiên, trong một số trường hợp bệnh lý như suy tim, việc phối hợp các thuốc cùng có nguy cơ gây tăng kali máu, bao gồm spironolacton và các thuốc tác động trên hệ renin - angiotensin (thuốc ức chế men chuyển - ACEi hoặc thuốc đối kháng thụ thể angiotensin - ARB) lại nằm trong hướng dẫn điều trị và được sử dụng phổ biến trên lâm sàng do lợi ích đem lại cho người bệnh [3], [4], [11]. Vì vậy, trên các đối tượng này, việc tăng cường giám sát kali và chức năng thận trong quá trình sử dụng thuốc đóng vai trò quan trọng để dự phòng các hậu quả bất lợ</w:t>
      </w:r>
      <w:r w:rsidRPr="00144444">
        <w:rPr>
          <w:rFonts w:cs="Times New Roman"/>
          <w:szCs w:val="28"/>
        </w:rPr>
        <w:t>i do tăng kali máu gây ra.</w:t>
      </w:r>
    </w:p>
    <w:p w:rsidR="00C26C32" w:rsidRPr="00144444" w:rsidRDefault="00C26C32" w:rsidP="00C26C32">
      <w:pPr>
        <w:spacing w:after="0" w:line="240" w:lineRule="auto"/>
        <w:ind w:firstLine="720"/>
        <w:jc w:val="both"/>
        <w:rPr>
          <w:rFonts w:cs="Times New Roman"/>
          <w:szCs w:val="28"/>
        </w:rPr>
      </w:pPr>
      <w:r w:rsidRPr="00144444">
        <w:rPr>
          <w:rFonts w:cs="Times New Roman"/>
          <w:szCs w:val="28"/>
        </w:rPr>
        <w:t xml:space="preserve"> Bằng chứng từ y văn </w:t>
      </w:r>
    </w:p>
    <w:p w:rsidR="00C26C32" w:rsidRPr="00144444" w:rsidRDefault="00C26C32" w:rsidP="00C26C32">
      <w:pPr>
        <w:spacing w:after="0" w:line="240" w:lineRule="auto"/>
        <w:ind w:firstLine="720"/>
        <w:jc w:val="both"/>
        <w:rPr>
          <w:rFonts w:cs="Times New Roman"/>
          <w:szCs w:val="28"/>
        </w:rPr>
      </w:pPr>
      <w:r w:rsidRPr="00144444">
        <w:rPr>
          <w:rFonts w:cs="Times New Roman"/>
          <w:szCs w:val="28"/>
        </w:rPr>
        <w:t xml:space="preserve">Spironolacton được khuyến cáo kết hợp với ACEi/ARB ở bệnh nhân suy tim có phân suất tống máu giảm do cải thiện tỷ lệ tử vong và giảm nguy cơ nhập viện do suy tim [3], [4], [11]. Khuyến cáo này được đưa ra dựa trên kết quả từ một thử nghiệm lâm sàng lớn đánh giá hiệu quả của spironolacton (nghiên cứu Randomised Aldactone Evaluation Study - RALES) trên bệnh nhân suy tim phân độ III hoặc IV theo thang phân loại của Hiệp hội Tim mạch New York (NYHA). Nghiên cứu này cho thấy, khi phối hợp với phác đồ nền sử dụng ACEi, spironolacton giúp giảm 30% nguy cơ tử vong do diễn tiến của suy tim hoặc đột tử có nguyên nhân liên quan đếntim mạch so với placebo. Tỷ lệ nhập viện do tình trạng xấu đi của suy tim cũng giảm 35% ở nhóm sử dụng spironolacton so với nhóm sử dụng placbo. Thêm vào đó, ở nhóm spironolacton, các triệu chứng suy tim cũng cải thiện rõ rệt hơn. Trong nghiên cứu RALES, tỷ lệ tăng kali máu nghiêm trọng (nồng độ kali máu ≥ 6 mmol/L) tương đối thấp (1% ở nhóm chứng so với 2% ở nhóm dùng spironolacton, p = 0,42) [6]. </w:t>
      </w:r>
    </w:p>
    <w:p w:rsidR="00144444" w:rsidRPr="00144444" w:rsidRDefault="00C26C32" w:rsidP="00C26C32">
      <w:pPr>
        <w:spacing w:after="0" w:line="240" w:lineRule="auto"/>
        <w:ind w:firstLine="720"/>
        <w:jc w:val="both"/>
        <w:rPr>
          <w:rFonts w:cs="Times New Roman"/>
          <w:szCs w:val="28"/>
        </w:rPr>
      </w:pPr>
      <w:r w:rsidRPr="00144444">
        <w:rPr>
          <w:rFonts w:cs="Times New Roman"/>
          <w:szCs w:val="28"/>
        </w:rPr>
        <w:t xml:space="preserve">Tuy nhiên, con số thực tế của tình trạng tăng kali máu trong thực hành đáng quan ngại hơn rất nhiều. Một nghiên cứu tại Mỹ và Canada sau đó đã cho thấy, sau công bố của thử nghiệm RALES, tỷ lệ sử dụng spironolacton tăng đột biến, kéo theo tỷ lệ nhập viện do tăng kali máu tăng từ 2,4/1000 năm 1994 lên 11,0/1000 bệnh nhân năm 2001 (p &lt; 0,001). Sự tăng này cũng có liên quan đến tăng tỷ lệ tử vong, từ 0,3 lên 2/1000 bệnh nhân (p &lt; 0,001). Đáng chú ý, trong cùng giai đoạn, tỷ lệ nhập viện do suy tim cũng như tử vong do mọi nguyên nhân đều không giảm. Kết quả này ghi nhận trên nhóm bệnh nhân cao tuổi, sử dụng spironolacton liều trung bình là 25 mg/ngày, đang điều trị bằng ACEi trước đó có nhập viện hoặc không nhập viện do suy tim [7]. Một nghiên cứu bệnh - chứng sử dụng dữ liệu bảo hiểm y tế tại Đức cũng cho thấy nguy cơ tăng kali máu khi phối hợp spironolacton và ACEi/ARB nặng nề hơn rất nhiều so với trong các thử nghiệm lâm sàng. Theo đó, nguy cơ tăng kali máu tăng rõ rệt ở bệnh nhân suy tim có sử dụng spironolacton so với người không sử dụng spironolacton, với tỷ suất chênh (OR) = 13,59 (95%CI: 11,63 - 15,88). Con số này là </w:t>
      </w:r>
      <w:r w:rsidRPr="00144444">
        <w:rPr>
          <w:rFonts w:cs="Times New Roman"/>
          <w:szCs w:val="28"/>
        </w:rPr>
        <w:lastRenderedPageBreak/>
        <w:t xml:space="preserve">11,05 (95%CI: 9,13–13,36) ở nhóm khi có thông tin về phân độ suy tim theo NYHA. Đặc biệt, nguy cơ này tăng lên ở người trên 70 tuổi và sửdụng ngắn hạn spironolacton [8]. Ở Anh, từ tháng 1/1998 đến tháng 12/2015 ghi nhận 70 báo cáo ADR về tăng kali máu ở bệnh nhân sử dụng đồng thời spironolacton và ACEi hoặc ARB, trong đó, 3 trường hợp tử vong [5]. Trong Cơ sở dữ liệu báo cáo ADR tự nguyện của Việt Nam trong năm 2022 cũng ghi nhận 2 trường hợp tăng kali máu trên bệnh nhân sử dụng phối hợp spironolacton và ACEi/ARB, với mức tăng kali máu lần lượt là 5,9 mmol/L và 7,2 mmol/L. </w:t>
      </w:r>
    </w:p>
    <w:p w:rsidR="00144444" w:rsidRPr="00144444" w:rsidRDefault="00C26C32" w:rsidP="00C26C32">
      <w:pPr>
        <w:spacing w:after="0" w:line="240" w:lineRule="auto"/>
        <w:ind w:firstLine="720"/>
        <w:jc w:val="both"/>
        <w:rPr>
          <w:rFonts w:cs="Times New Roman"/>
          <w:szCs w:val="28"/>
        </w:rPr>
      </w:pPr>
      <w:r w:rsidRPr="00144444">
        <w:rPr>
          <w:rFonts w:cs="Times New Roman"/>
          <w:szCs w:val="28"/>
        </w:rPr>
        <w:t xml:space="preserve">Biện pháp quản lý tương tác thuốc </w:t>
      </w:r>
    </w:p>
    <w:p w:rsidR="00144444" w:rsidRPr="00144444" w:rsidRDefault="00C26C32" w:rsidP="00C26C32">
      <w:pPr>
        <w:spacing w:after="0" w:line="240" w:lineRule="auto"/>
        <w:ind w:firstLine="720"/>
        <w:jc w:val="both"/>
        <w:rPr>
          <w:rFonts w:cs="Times New Roman"/>
          <w:szCs w:val="28"/>
        </w:rPr>
      </w:pPr>
      <w:r w:rsidRPr="00144444">
        <w:rPr>
          <w:rFonts w:cs="Times New Roman"/>
          <w:szCs w:val="28"/>
        </w:rPr>
        <w:t xml:space="preserve">Rõ ràng, phối hợp spironolacton và ACEi/ARB đem lại nhiều lợi ích cho người bệnh nhưng cũng tiềm ẩn nguy cơ tăng kali máu nguy hiểm của phối hợp này. Việc tăng cường giám sát kali máu, chức năng thận và kiểm soát các yếu tố nguy cơ của bệnh nhân đóng vai trò quan trọng. Trong đó, các yếu tố thuộc về bệnh nhân gây tăng kali máu cần lưu ý bao gồm: tuổi cao, mắc kèm đái tháo đường, giảm thể tích tuần hoàn và đặc biệt là suy thận nặng (creatinine huyết thanh &gt; 221 µmol/L (&gt; 2,5 mg/dL) hoặc có mức lọc cầu thận ước tính (eGFR) &lt; 30 mL/ min/1,73 m2 ) [4]. </w:t>
      </w:r>
    </w:p>
    <w:p w:rsidR="00144444" w:rsidRPr="00144444" w:rsidRDefault="00C26C32" w:rsidP="00C26C32">
      <w:pPr>
        <w:spacing w:after="0" w:line="240" w:lineRule="auto"/>
        <w:ind w:firstLine="720"/>
        <w:jc w:val="both"/>
        <w:rPr>
          <w:rFonts w:cs="Times New Roman"/>
          <w:szCs w:val="28"/>
        </w:rPr>
      </w:pPr>
      <w:r w:rsidRPr="00144444">
        <w:rPr>
          <w:rFonts w:cs="Times New Roman"/>
          <w:szCs w:val="28"/>
        </w:rPr>
        <w:t xml:space="preserve">Một tổng quan hệ thống và phân tích gộp gần đây tổng hợp 20 thử nghiệm lâm sàng ngẫu nhiên có đối chứng (RCT) về phối hợp ACEi/ARB với spironolacton đã cho thấy, việc sử dụng spironolacton với ACEi/ARB làm tăng kali máu khoảng 0,2 mmol/L (95%CI: 0,12 - 0,26) so với nhóm sử dụng ACEi/ARB đơn độc. Tuy nhiên, một số bệnh nhân trong các RCT xuất hiện tăng kali máu ≥ 5,5 mmol/L bị rút khỏi thử nghiệm, từ đó, thông tin không được đưa vào nghiên cứu gốc cũng như nghiên cứu tổng quan, dẫn đến hạn chế trong kết quả phân tích gộp ở trên [9]. Vì vậy, mặc dù mức tăng của nồng độ kali máu được báo cáo chỉ ở mức vừa phải nhưng nồng độ kali máu và chức năng thận của bệnh nhân vẫn cần được theo dõi thường xuyên, đặc biệt khi bắt đầu phối hợp các thuốc. </w:t>
      </w:r>
    </w:p>
    <w:p w:rsidR="00144444" w:rsidRPr="00144444" w:rsidRDefault="00C26C32" w:rsidP="00C26C32">
      <w:pPr>
        <w:spacing w:after="0" w:line="240" w:lineRule="auto"/>
        <w:ind w:firstLine="720"/>
        <w:jc w:val="both"/>
        <w:rPr>
          <w:rFonts w:cs="Times New Roman"/>
          <w:szCs w:val="28"/>
        </w:rPr>
      </w:pPr>
      <w:r w:rsidRPr="00144444">
        <w:rPr>
          <w:rFonts w:cs="Times New Roman"/>
          <w:szCs w:val="28"/>
        </w:rPr>
        <w:t xml:space="preserve">Về liều dùng của spironolacton, ở bệnh nhân cần thận trọng về chức năng thận và nguy cơ tăng kali máu nên được khởi đầu với liều thấp của spironolacton (12,5 mg) [4]. Trong trường hợp phối hợp với các thuốc ACEi hoặc ARB, nên sử dụng liều thấp nhất có hiệu quả của spironolacton [5]. Theo một số chuyên gia, để hạn chế nguy cơ tăng kali máu nặng, mức liều của spironolacton chỉ nên giới hạn ở 25 mg/ngày [10]. Đặc biệt, trên bệnh nhân suy tim đang sử dụng phối hợp spironolacton và ACEi/ ARB nên tránh sử dụng thêm các thuốc khác có cùng nguy cơ gây tăng kali máu (ví dụ: bổ sung kali clorid, thuốc lợi tiểu giữ như amilorid, thuốc chống viêm không steroid, trimethoprim…) [4]. </w:t>
      </w:r>
    </w:p>
    <w:p w:rsidR="00C26C32" w:rsidRPr="00144444" w:rsidRDefault="00C26C32" w:rsidP="00C26C32">
      <w:pPr>
        <w:spacing w:after="0" w:line="240" w:lineRule="auto"/>
        <w:ind w:firstLine="720"/>
        <w:jc w:val="both"/>
        <w:rPr>
          <w:rFonts w:cs="Times New Roman"/>
          <w:szCs w:val="28"/>
        </w:rPr>
      </w:pPr>
      <w:r w:rsidRPr="00144444">
        <w:rPr>
          <w:rFonts w:cs="Times New Roman"/>
          <w:szCs w:val="28"/>
        </w:rPr>
        <w:t>Tóm lại, mặc dù phối hợp spironolacton và ACEi/ARB được sử dụng phổ biến trong điều trị suy tim nhưng vẫn cần đánh giá cẩn thận các yếu tố nguy cơ (tuổi cao, mắc kèm đái tháo đường, giảm thể tích tuần hoàn, suy thận nặng) và theo dõi chặt chẽ kali máu cũng như chức năng thận của bệnh nhân để hạn chế hậu quả bất lợi do tương tác này gây ra.</w:t>
      </w:r>
    </w:p>
    <w:p w:rsidR="00F96B1B" w:rsidRPr="00144444" w:rsidRDefault="0045414D" w:rsidP="00144444">
      <w:pPr>
        <w:rPr>
          <w:rFonts w:cs="Times New Roman"/>
          <w:b/>
          <w:szCs w:val="28"/>
        </w:rPr>
      </w:pPr>
      <w:r w:rsidRPr="00D04A59">
        <w:rPr>
          <w:i/>
          <w:szCs w:val="28"/>
        </w:rPr>
        <w:t>Nguồn: Cảnh giác Dược</w:t>
      </w:r>
      <w:r w:rsidR="00144444">
        <w:rPr>
          <w:rFonts w:cs="Times New Roman"/>
          <w:b/>
          <w:szCs w:val="28"/>
        </w:rPr>
        <w:t xml:space="preserve">                                       </w:t>
      </w:r>
      <w:r w:rsidR="004669AD" w:rsidRPr="004669AD">
        <w:rPr>
          <w:b/>
        </w:rPr>
        <w:t>TỔ THÔNG TIN THUỐC</w:t>
      </w:r>
    </w:p>
    <w:p w:rsidR="00F96B1B" w:rsidRDefault="00F96B1B" w:rsidP="003F2375">
      <w:pPr>
        <w:ind w:left="4320"/>
        <w:jc w:val="both"/>
      </w:pPr>
      <w:bookmarkStart w:id="0" w:name="_GoBack"/>
      <w:bookmarkEnd w:id="0"/>
    </w:p>
    <w:p w:rsidR="002E04B5" w:rsidRDefault="00A854A9" w:rsidP="009F4750">
      <w:pPr>
        <w:ind w:left="5040" w:firstLine="720"/>
        <w:jc w:val="both"/>
      </w:pPr>
      <w:r>
        <w:t xml:space="preserve"> </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FD33C5">
      <w:footerReference w:type="default" r:id="rId9"/>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C8A" w:rsidRDefault="003C0C8A" w:rsidP="006511A5">
      <w:pPr>
        <w:spacing w:after="0" w:line="240" w:lineRule="auto"/>
      </w:pPr>
      <w:r>
        <w:separator/>
      </w:r>
    </w:p>
  </w:endnote>
  <w:endnote w:type="continuationSeparator" w:id="0">
    <w:p w:rsidR="003C0C8A" w:rsidRDefault="003C0C8A"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041565" w:rsidRDefault="00041565">
        <w:pPr>
          <w:pStyle w:val="Footer"/>
          <w:jc w:val="center"/>
        </w:pPr>
        <w:r>
          <w:fldChar w:fldCharType="begin"/>
        </w:r>
        <w:r>
          <w:instrText xml:space="preserve"> PAGE   \* MERGEFORMAT </w:instrText>
        </w:r>
        <w:r>
          <w:fldChar w:fldCharType="separate"/>
        </w:r>
        <w:r w:rsidR="00144444">
          <w:rPr>
            <w:noProof/>
          </w:rPr>
          <w:t>7</w:t>
        </w:r>
        <w:r>
          <w:rPr>
            <w:noProof/>
          </w:rPr>
          <w:fldChar w:fldCharType="end"/>
        </w:r>
      </w:p>
    </w:sdtContent>
  </w:sdt>
  <w:p w:rsidR="00041565" w:rsidRDefault="000415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C8A" w:rsidRDefault="003C0C8A" w:rsidP="006511A5">
      <w:pPr>
        <w:spacing w:after="0" w:line="240" w:lineRule="auto"/>
      </w:pPr>
      <w:r>
        <w:separator/>
      </w:r>
    </w:p>
  </w:footnote>
  <w:footnote w:type="continuationSeparator" w:id="0">
    <w:p w:rsidR="003C0C8A" w:rsidRDefault="003C0C8A"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B9A"/>
    <w:multiLevelType w:val="hybridMultilevel"/>
    <w:tmpl w:val="AC1A11FA"/>
    <w:lvl w:ilvl="0" w:tplc="18DC2CD8">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00C065F5"/>
    <w:multiLevelType w:val="hybridMultilevel"/>
    <w:tmpl w:val="93827620"/>
    <w:lvl w:ilvl="0" w:tplc="7CA8DF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87DBA"/>
    <w:multiLevelType w:val="hybridMultilevel"/>
    <w:tmpl w:val="A208B624"/>
    <w:lvl w:ilvl="0" w:tplc="84D69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C7303"/>
    <w:multiLevelType w:val="hybridMultilevel"/>
    <w:tmpl w:val="70D40CC6"/>
    <w:lvl w:ilvl="0" w:tplc="B0BEDEEA">
      <w:start w:val="1"/>
      <w:numFmt w:val="upperRoman"/>
      <w:lvlText w:val="%1."/>
      <w:lvlJc w:val="left"/>
      <w:pPr>
        <w:ind w:left="1080" w:hanging="720"/>
      </w:pPr>
      <w:rPr>
        <w:rFonts w:ascii="Arial" w:eastAsia="Times New Roman" w:hAnsi="Arial" w:cs="Arial" w:hint="default"/>
        <w:b w:val="0"/>
        <w:color w:val="41414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3E1105"/>
    <w:multiLevelType w:val="multilevel"/>
    <w:tmpl w:val="3E7214B0"/>
    <w:lvl w:ilvl="0">
      <w:start w:val="1"/>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852756"/>
    <w:multiLevelType w:val="hybridMultilevel"/>
    <w:tmpl w:val="E6D4D0F2"/>
    <w:lvl w:ilvl="0" w:tplc="BF90AB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BE62AB"/>
    <w:multiLevelType w:val="hybridMultilevel"/>
    <w:tmpl w:val="D87828FC"/>
    <w:lvl w:ilvl="0" w:tplc="54B043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EF37C1"/>
    <w:multiLevelType w:val="hybridMultilevel"/>
    <w:tmpl w:val="8356F048"/>
    <w:lvl w:ilvl="0" w:tplc="2C4E11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4B461C"/>
    <w:multiLevelType w:val="hybridMultilevel"/>
    <w:tmpl w:val="6ED20CFE"/>
    <w:lvl w:ilvl="0" w:tplc="1366A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F42F2C"/>
    <w:multiLevelType w:val="multilevel"/>
    <w:tmpl w:val="B148BFB8"/>
    <w:lvl w:ilvl="0">
      <w:start w:val="1"/>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48E124E7"/>
    <w:multiLevelType w:val="hybridMultilevel"/>
    <w:tmpl w:val="DBA03440"/>
    <w:lvl w:ilvl="0" w:tplc="3BF234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3E2372"/>
    <w:multiLevelType w:val="hybridMultilevel"/>
    <w:tmpl w:val="B43C0A54"/>
    <w:lvl w:ilvl="0" w:tplc="DAA0A5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393453"/>
    <w:multiLevelType w:val="hybridMultilevel"/>
    <w:tmpl w:val="7626F776"/>
    <w:lvl w:ilvl="0" w:tplc="2CF049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E5083D"/>
    <w:multiLevelType w:val="multilevel"/>
    <w:tmpl w:val="7C0428A6"/>
    <w:lvl w:ilvl="0">
      <w:start w:val="1"/>
      <w:numFmt w:val="decimal"/>
      <w:lvlText w:val="%1.0"/>
      <w:lvlJc w:val="left"/>
      <w:pPr>
        <w:ind w:left="1080" w:hanging="540"/>
      </w:pPr>
      <w:rPr>
        <w:rFonts w:hint="default"/>
      </w:rPr>
    </w:lvl>
    <w:lvl w:ilvl="1">
      <w:start w:val="1"/>
      <w:numFmt w:val="decimalZero"/>
      <w:lvlText w:val="%1.%2"/>
      <w:lvlJc w:val="left"/>
      <w:pPr>
        <w:ind w:left="180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020" w:hanging="1440"/>
      </w:pPr>
      <w:rPr>
        <w:rFonts w:hint="default"/>
      </w:rPr>
    </w:lvl>
    <w:lvl w:ilvl="8">
      <w:start w:val="1"/>
      <w:numFmt w:val="decimal"/>
      <w:lvlText w:val="%1.%2.%3.%4.%5.%6.%7.%8.%9"/>
      <w:lvlJc w:val="left"/>
      <w:pPr>
        <w:ind w:left="7740" w:hanging="1440"/>
      </w:pPr>
      <w:rPr>
        <w:rFonts w:hint="default"/>
      </w:rPr>
    </w:lvl>
  </w:abstractNum>
  <w:abstractNum w:abstractNumId="19">
    <w:nsid w:val="582831B7"/>
    <w:multiLevelType w:val="hybridMultilevel"/>
    <w:tmpl w:val="4100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F31AC7"/>
    <w:multiLevelType w:val="hybridMultilevel"/>
    <w:tmpl w:val="E320DD0C"/>
    <w:lvl w:ilvl="0" w:tplc="0CA8D7AE">
      <w:start w:val="1"/>
      <w:numFmt w:val="upperRoman"/>
      <w:lvlText w:val="%1."/>
      <w:lvlJc w:val="left"/>
      <w:pPr>
        <w:ind w:left="1080" w:hanging="720"/>
      </w:pPr>
      <w:rPr>
        <w:rFonts w:eastAsia="Times New Roman" w:cs="Times New Roman"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883E46"/>
    <w:multiLevelType w:val="hybridMultilevel"/>
    <w:tmpl w:val="F644518E"/>
    <w:lvl w:ilvl="0" w:tplc="C742B78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817CC0"/>
    <w:multiLevelType w:val="hybridMultilevel"/>
    <w:tmpl w:val="1724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E43B18"/>
    <w:multiLevelType w:val="hybridMultilevel"/>
    <w:tmpl w:val="D42E7316"/>
    <w:lvl w:ilvl="0" w:tplc="A4EC7304">
      <w:start w:val="1"/>
      <w:numFmt w:val="upperRoman"/>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C66E2F"/>
    <w:multiLevelType w:val="multilevel"/>
    <w:tmpl w:val="C13A70B2"/>
    <w:lvl w:ilvl="0">
      <w:start w:val="1"/>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nsid w:val="7C7574EE"/>
    <w:multiLevelType w:val="multilevel"/>
    <w:tmpl w:val="65224474"/>
    <w:lvl w:ilvl="0">
      <w:start w:val="1"/>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3"/>
  </w:num>
  <w:num w:numId="4">
    <w:abstractNumId w:val="21"/>
  </w:num>
  <w:num w:numId="5">
    <w:abstractNumId w:val="27"/>
  </w:num>
  <w:num w:numId="6">
    <w:abstractNumId w:val="31"/>
  </w:num>
  <w:num w:numId="7">
    <w:abstractNumId w:val="12"/>
  </w:num>
  <w:num w:numId="8">
    <w:abstractNumId w:val="24"/>
  </w:num>
  <w:num w:numId="9">
    <w:abstractNumId w:val="11"/>
  </w:num>
  <w:num w:numId="10">
    <w:abstractNumId w:val="7"/>
  </w:num>
  <w:num w:numId="11">
    <w:abstractNumId w:val="10"/>
  </w:num>
  <w:num w:numId="12">
    <w:abstractNumId w:val="19"/>
  </w:num>
  <w:num w:numId="13">
    <w:abstractNumId w:val="25"/>
  </w:num>
  <w:num w:numId="14">
    <w:abstractNumId w:val="3"/>
  </w:num>
  <w:num w:numId="15">
    <w:abstractNumId w:val="13"/>
  </w:num>
  <w:num w:numId="16">
    <w:abstractNumId w:val="15"/>
  </w:num>
  <w:num w:numId="17">
    <w:abstractNumId w:val="29"/>
  </w:num>
  <w:num w:numId="18">
    <w:abstractNumId w:val="4"/>
  </w:num>
  <w:num w:numId="19">
    <w:abstractNumId w:val="18"/>
  </w:num>
  <w:num w:numId="20">
    <w:abstractNumId w:val="22"/>
  </w:num>
  <w:num w:numId="21">
    <w:abstractNumId w:val="8"/>
  </w:num>
  <w:num w:numId="22">
    <w:abstractNumId w:val="0"/>
  </w:num>
  <w:num w:numId="23">
    <w:abstractNumId w:val="17"/>
  </w:num>
  <w:num w:numId="24">
    <w:abstractNumId w:val="16"/>
  </w:num>
  <w:num w:numId="25">
    <w:abstractNumId w:val="1"/>
  </w:num>
  <w:num w:numId="26">
    <w:abstractNumId w:val="14"/>
  </w:num>
  <w:num w:numId="27">
    <w:abstractNumId w:val="30"/>
  </w:num>
  <w:num w:numId="28">
    <w:abstractNumId w:val="20"/>
  </w:num>
  <w:num w:numId="29">
    <w:abstractNumId w:val="9"/>
  </w:num>
  <w:num w:numId="30">
    <w:abstractNumId w:val="2"/>
  </w:num>
  <w:num w:numId="31">
    <w:abstractNumId w:val="28"/>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35"/>
    <w:rsid w:val="000069FA"/>
    <w:rsid w:val="00021827"/>
    <w:rsid w:val="00023125"/>
    <w:rsid w:val="00032AA0"/>
    <w:rsid w:val="00041565"/>
    <w:rsid w:val="000462D0"/>
    <w:rsid w:val="00056FE1"/>
    <w:rsid w:val="0008656E"/>
    <w:rsid w:val="000D13F4"/>
    <w:rsid w:val="000E41E5"/>
    <w:rsid w:val="000F45EA"/>
    <w:rsid w:val="00112AFA"/>
    <w:rsid w:val="00144444"/>
    <w:rsid w:val="001470C5"/>
    <w:rsid w:val="00165052"/>
    <w:rsid w:val="001866B3"/>
    <w:rsid w:val="001919E4"/>
    <w:rsid w:val="001B5A9F"/>
    <w:rsid w:val="001D76EA"/>
    <w:rsid w:val="001E12CB"/>
    <w:rsid w:val="001E27E5"/>
    <w:rsid w:val="001E4B43"/>
    <w:rsid w:val="00212D3E"/>
    <w:rsid w:val="0022213F"/>
    <w:rsid w:val="00236062"/>
    <w:rsid w:val="0026081A"/>
    <w:rsid w:val="002A47FA"/>
    <w:rsid w:val="002C05D5"/>
    <w:rsid w:val="002C3E9C"/>
    <w:rsid w:val="002E04B5"/>
    <w:rsid w:val="003071DA"/>
    <w:rsid w:val="00314D86"/>
    <w:rsid w:val="00322088"/>
    <w:rsid w:val="003304CC"/>
    <w:rsid w:val="0033483E"/>
    <w:rsid w:val="003700AF"/>
    <w:rsid w:val="00370C88"/>
    <w:rsid w:val="00373B0B"/>
    <w:rsid w:val="00397EDA"/>
    <w:rsid w:val="003A150B"/>
    <w:rsid w:val="003A3F2B"/>
    <w:rsid w:val="003B7240"/>
    <w:rsid w:val="003C0C8A"/>
    <w:rsid w:val="003C1394"/>
    <w:rsid w:val="003D752D"/>
    <w:rsid w:val="003F2375"/>
    <w:rsid w:val="003F3520"/>
    <w:rsid w:val="00410FA1"/>
    <w:rsid w:val="004137F2"/>
    <w:rsid w:val="0042087F"/>
    <w:rsid w:val="0045414D"/>
    <w:rsid w:val="00454F78"/>
    <w:rsid w:val="00463CE8"/>
    <w:rsid w:val="004669AD"/>
    <w:rsid w:val="004B36CA"/>
    <w:rsid w:val="004B4D25"/>
    <w:rsid w:val="004B5F77"/>
    <w:rsid w:val="004D7995"/>
    <w:rsid w:val="004E59B8"/>
    <w:rsid w:val="004F4AE2"/>
    <w:rsid w:val="004F7696"/>
    <w:rsid w:val="00506236"/>
    <w:rsid w:val="00512D55"/>
    <w:rsid w:val="005149DC"/>
    <w:rsid w:val="005264E3"/>
    <w:rsid w:val="00532DB0"/>
    <w:rsid w:val="0053743B"/>
    <w:rsid w:val="00545456"/>
    <w:rsid w:val="00565F4C"/>
    <w:rsid w:val="00576835"/>
    <w:rsid w:val="00595AAF"/>
    <w:rsid w:val="005A2D9B"/>
    <w:rsid w:val="005A787A"/>
    <w:rsid w:val="005B031B"/>
    <w:rsid w:val="005B110A"/>
    <w:rsid w:val="005E7E90"/>
    <w:rsid w:val="005F7261"/>
    <w:rsid w:val="005F74B0"/>
    <w:rsid w:val="0060425F"/>
    <w:rsid w:val="00620BF1"/>
    <w:rsid w:val="00624B07"/>
    <w:rsid w:val="006511A5"/>
    <w:rsid w:val="00692041"/>
    <w:rsid w:val="006B34C0"/>
    <w:rsid w:val="00712F5E"/>
    <w:rsid w:val="00716027"/>
    <w:rsid w:val="00725C79"/>
    <w:rsid w:val="0073154B"/>
    <w:rsid w:val="007401DF"/>
    <w:rsid w:val="00751074"/>
    <w:rsid w:val="00753CCF"/>
    <w:rsid w:val="007570BC"/>
    <w:rsid w:val="00771098"/>
    <w:rsid w:val="00780B56"/>
    <w:rsid w:val="007A1C65"/>
    <w:rsid w:val="007C0FC7"/>
    <w:rsid w:val="007C70CF"/>
    <w:rsid w:val="007E7517"/>
    <w:rsid w:val="007F79CA"/>
    <w:rsid w:val="008204E4"/>
    <w:rsid w:val="0085508A"/>
    <w:rsid w:val="008638AE"/>
    <w:rsid w:val="008901A4"/>
    <w:rsid w:val="008A38B4"/>
    <w:rsid w:val="008E0A7F"/>
    <w:rsid w:val="008E49B3"/>
    <w:rsid w:val="008F7F68"/>
    <w:rsid w:val="00923156"/>
    <w:rsid w:val="00955A07"/>
    <w:rsid w:val="00966DE6"/>
    <w:rsid w:val="0098634B"/>
    <w:rsid w:val="009A5D28"/>
    <w:rsid w:val="009B0BA7"/>
    <w:rsid w:val="009C60A6"/>
    <w:rsid w:val="009F4750"/>
    <w:rsid w:val="009F7F5B"/>
    <w:rsid w:val="00A020B0"/>
    <w:rsid w:val="00A25735"/>
    <w:rsid w:val="00A35DDE"/>
    <w:rsid w:val="00A453CF"/>
    <w:rsid w:val="00A45A7D"/>
    <w:rsid w:val="00A854A9"/>
    <w:rsid w:val="00A9110C"/>
    <w:rsid w:val="00AA2B66"/>
    <w:rsid w:val="00AB63E8"/>
    <w:rsid w:val="00AE098A"/>
    <w:rsid w:val="00AE5617"/>
    <w:rsid w:val="00AE5A26"/>
    <w:rsid w:val="00B02B52"/>
    <w:rsid w:val="00BA315B"/>
    <w:rsid w:val="00BB74D6"/>
    <w:rsid w:val="00BC46E9"/>
    <w:rsid w:val="00BD41A7"/>
    <w:rsid w:val="00C01CE0"/>
    <w:rsid w:val="00C1075B"/>
    <w:rsid w:val="00C24AFC"/>
    <w:rsid w:val="00C26C32"/>
    <w:rsid w:val="00C272B8"/>
    <w:rsid w:val="00C27A80"/>
    <w:rsid w:val="00C416D7"/>
    <w:rsid w:val="00C45CA7"/>
    <w:rsid w:val="00C46A2B"/>
    <w:rsid w:val="00C521CA"/>
    <w:rsid w:val="00C52559"/>
    <w:rsid w:val="00C84310"/>
    <w:rsid w:val="00CA5332"/>
    <w:rsid w:val="00CB336D"/>
    <w:rsid w:val="00CE15A1"/>
    <w:rsid w:val="00D038E6"/>
    <w:rsid w:val="00D04A59"/>
    <w:rsid w:val="00D11A00"/>
    <w:rsid w:val="00D53F53"/>
    <w:rsid w:val="00D76BE6"/>
    <w:rsid w:val="00D9375A"/>
    <w:rsid w:val="00D95746"/>
    <w:rsid w:val="00DB19EF"/>
    <w:rsid w:val="00DC3783"/>
    <w:rsid w:val="00DD36C1"/>
    <w:rsid w:val="00DD5614"/>
    <w:rsid w:val="00DD733B"/>
    <w:rsid w:val="00DE1F0A"/>
    <w:rsid w:val="00DF4F61"/>
    <w:rsid w:val="00E32C92"/>
    <w:rsid w:val="00EA3A24"/>
    <w:rsid w:val="00EB3D1A"/>
    <w:rsid w:val="00EC1682"/>
    <w:rsid w:val="00ED0EEE"/>
    <w:rsid w:val="00F152B4"/>
    <w:rsid w:val="00F168F1"/>
    <w:rsid w:val="00F17C57"/>
    <w:rsid w:val="00F25424"/>
    <w:rsid w:val="00F2712A"/>
    <w:rsid w:val="00F33A3C"/>
    <w:rsid w:val="00F57CE8"/>
    <w:rsid w:val="00F65C51"/>
    <w:rsid w:val="00F73725"/>
    <w:rsid w:val="00F847F7"/>
    <w:rsid w:val="00F95857"/>
    <w:rsid w:val="00F96B1B"/>
    <w:rsid w:val="00FB1AAB"/>
    <w:rsid w:val="00FB7921"/>
    <w:rsid w:val="00FD08B1"/>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paragraph" w:customStyle="1" w:styleId="Default">
    <w:name w:val="Default"/>
    <w:rsid w:val="007F79CA"/>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paragraph" w:customStyle="1" w:styleId="Default">
    <w:name w:val="Default"/>
    <w:rsid w:val="007F79CA"/>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5386">
      <w:bodyDiv w:val="1"/>
      <w:marLeft w:val="0"/>
      <w:marRight w:val="0"/>
      <w:marTop w:val="0"/>
      <w:marBottom w:val="0"/>
      <w:divBdr>
        <w:top w:val="none" w:sz="0" w:space="0" w:color="auto"/>
        <w:left w:val="none" w:sz="0" w:space="0" w:color="auto"/>
        <w:bottom w:val="none" w:sz="0" w:space="0" w:color="auto"/>
        <w:right w:val="none" w:sz="0" w:space="0" w:color="auto"/>
      </w:divBdr>
      <w:divsChild>
        <w:div w:id="875234154">
          <w:marLeft w:val="0"/>
          <w:marRight w:val="0"/>
          <w:marTop w:val="0"/>
          <w:marBottom w:val="0"/>
          <w:divBdr>
            <w:top w:val="none" w:sz="0" w:space="0" w:color="auto"/>
            <w:left w:val="none" w:sz="0" w:space="0" w:color="auto"/>
            <w:bottom w:val="none" w:sz="0" w:space="0" w:color="auto"/>
            <w:right w:val="none" w:sz="0" w:space="0" w:color="auto"/>
          </w:divBdr>
        </w:div>
        <w:div w:id="1990865260">
          <w:marLeft w:val="0"/>
          <w:marRight w:val="0"/>
          <w:marTop w:val="0"/>
          <w:marBottom w:val="0"/>
          <w:divBdr>
            <w:top w:val="none" w:sz="0" w:space="0" w:color="auto"/>
            <w:left w:val="none" w:sz="0" w:space="0" w:color="auto"/>
            <w:bottom w:val="none" w:sz="0" w:space="0" w:color="auto"/>
            <w:right w:val="none" w:sz="0" w:space="0" w:color="auto"/>
          </w:divBdr>
        </w:div>
      </w:divsChild>
    </w:div>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158813314">
      <w:bodyDiv w:val="1"/>
      <w:marLeft w:val="0"/>
      <w:marRight w:val="0"/>
      <w:marTop w:val="0"/>
      <w:marBottom w:val="0"/>
      <w:divBdr>
        <w:top w:val="none" w:sz="0" w:space="0" w:color="auto"/>
        <w:left w:val="none" w:sz="0" w:space="0" w:color="auto"/>
        <w:bottom w:val="none" w:sz="0" w:space="0" w:color="auto"/>
        <w:right w:val="none" w:sz="0" w:space="0" w:color="auto"/>
      </w:divBdr>
      <w:divsChild>
        <w:div w:id="339629142">
          <w:marLeft w:val="0"/>
          <w:marRight w:val="0"/>
          <w:marTop w:val="0"/>
          <w:marBottom w:val="0"/>
          <w:divBdr>
            <w:top w:val="none" w:sz="0" w:space="0" w:color="auto"/>
            <w:left w:val="none" w:sz="0" w:space="0" w:color="auto"/>
            <w:bottom w:val="none" w:sz="0" w:space="0" w:color="auto"/>
            <w:right w:val="none" w:sz="0" w:space="0" w:color="auto"/>
          </w:divBdr>
        </w:div>
        <w:div w:id="129399667">
          <w:marLeft w:val="0"/>
          <w:marRight w:val="0"/>
          <w:marTop w:val="0"/>
          <w:marBottom w:val="0"/>
          <w:divBdr>
            <w:top w:val="none" w:sz="0" w:space="0" w:color="auto"/>
            <w:left w:val="none" w:sz="0" w:space="0" w:color="auto"/>
            <w:bottom w:val="none" w:sz="0" w:space="0" w:color="auto"/>
            <w:right w:val="none" w:sz="0" w:space="0" w:color="auto"/>
          </w:divBdr>
        </w:div>
      </w:divsChild>
    </w:div>
    <w:div w:id="177231314">
      <w:bodyDiv w:val="1"/>
      <w:marLeft w:val="0"/>
      <w:marRight w:val="0"/>
      <w:marTop w:val="0"/>
      <w:marBottom w:val="0"/>
      <w:divBdr>
        <w:top w:val="none" w:sz="0" w:space="0" w:color="auto"/>
        <w:left w:val="none" w:sz="0" w:space="0" w:color="auto"/>
        <w:bottom w:val="none" w:sz="0" w:space="0" w:color="auto"/>
        <w:right w:val="none" w:sz="0" w:space="0" w:color="auto"/>
      </w:divBdr>
      <w:divsChild>
        <w:div w:id="1230730611">
          <w:marLeft w:val="0"/>
          <w:marRight w:val="0"/>
          <w:marTop w:val="0"/>
          <w:marBottom w:val="0"/>
          <w:divBdr>
            <w:top w:val="none" w:sz="0" w:space="0" w:color="auto"/>
            <w:left w:val="none" w:sz="0" w:space="0" w:color="auto"/>
            <w:bottom w:val="none" w:sz="0" w:space="0" w:color="auto"/>
            <w:right w:val="none" w:sz="0" w:space="0" w:color="auto"/>
          </w:divBdr>
        </w:div>
        <w:div w:id="1469349767">
          <w:marLeft w:val="0"/>
          <w:marRight w:val="0"/>
          <w:marTop w:val="0"/>
          <w:marBottom w:val="0"/>
          <w:divBdr>
            <w:top w:val="none" w:sz="0" w:space="0" w:color="auto"/>
            <w:left w:val="none" w:sz="0" w:space="0" w:color="auto"/>
            <w:bottom w:val="none" w:sz="0" w:space="0" w:color="auto"/>
            <w:right w:val="none" w:sz="0" w:space="0" w:color="auto"/>
          </w:divBdr>
        </w:div>
      </w:divsChild>
    </w:div>
    <w:div w:id="262540701">
      <w:bodyDiv w:val="1"/>
      <w:marLeft w:val="0"/>
      <w:marRight w:val="0"/>
      <w:marTop w:val="0"/>
      <w:marBottom w:val="0"/>
      <w:divBdr>
        <w:top w:val="none" w:sz="0" w:space="0" w:color="auto"/>
        <w:left w:val="none" w:sz="0" w:space="0" w:color="auto"/>
        <w:bottom w:val="none" w:sz="0" w:space="0" w:color="auto"/>
        <w:right w:val="none" w:sz="0" w:space="0" w:color="auto"/>
      </w:divBdr>
      <w:divsChild>
        <w:div w:id="373044626">
          <w:marLeft w:val="0"/>
          <w:marRight w:val="0"/>
          <w:marTop w:val="0"/>
          <w:marBottom w:val="0"/>
          <w:divBdr>
            <w:top w:val="none" w:sz="0" w:space="0" w:color="auto"/>
            <w:left w:val="none" w:sz="0" w:space="0" w:color="auto"/>
            <w:bottom w:val="none" w:sz="0" w:space="0" w:color="auto"/>
            <w:right w:val="none" w:sz="0" w:space="0" w:color="auto"/>
          </w:divBdr>
        </w:div>
        <w:div w:id="915433560">
          <w:marLeft w:val="0"/>
          <w:marRight w:val="0"/>
          <w:marTop w:val="0"/>
          <w:marBottom w:val="0"/>
          <w:divBdr>
            <w:top w:val="none" w:sz="0" w:space="0" w:color="auto"/>
            <w:left w:val="none" w:sz="0" w:space="0" w:color="auto"/>
            <w:bottom w:val="none" w:sz="0" w:space="0" w:color="auto"/>
            <w:right w:val="none" w:sz="0" w:space="0" w:color="auto"/>
          </w:divBdr>
        </w:div>
      </w:divsChild>
    </w:div>
    <w:div w:id="304509592">
      <w:bodyDiv w:val="1"/>
      <w:marLeft w:val="0"/>
      <w:marRight w:val="0"/>
      <w:marTop w:val="0"/>
      <w:marBottom w:val="0"/>
      <w:divBdr>
        <w:top w:val="none" w:sz="0" w:space="0" w:color="auto"/>
        <w:left w:val="none" w:sz="0" w:space="0" w:color="auto"/>
        <w:bottom w:val="none" w:sz="0" w:space="0" w:color="auto"/>
        <w:right w:val="none" w:sz="0" w:space="0" w:color="auto"/>
      </w:divBdr>
      <w:divsChild>
        <w:div w:id="533467160">
          <w:marLeft w:val="0"/>
          <w:marRight w:val="0"/>
          <w:marTop w:val="0"/>
          <w:marBottom w:val="0"/>
          <w:divBdr>
            <w:top w:val="none" w:sz="0" w:space="0" w:color="auto"/>
            <w:left w:val="none" w:sz="0" w:space="0" w:color="auto"/>
            <w:bottom w:val="none" w:sz="0" w:space="0" w:color="auto"/>
            <w:right w:val="none" w:sz="0" w:space="0" w:color="auto"/>
          </w:divBdr>
        </w:div>
        <w:div w:id="2102293342">
          <w:marLeft w:val="0"/>
          <w:marRight w:val="0"/>
          <w:marTop w:val="0"/>
          <w:marBottom w:val="0"/>
          <w:divBdr>
            <w:top w:val="none" w:sz="0" w:space="0" w:color="auto"/>
            <w:left w:val="none" w:sz="0" w:space="0" w:color="auto"/>
            <w:bottom w:val="none" w:sz="0" w:space="0" w:color="auto"/>
            <w:right w:val="none" w:sz="0" w:space="0" w:color="auto"/>
          </w:divBdr>
        </w:div>
      </w:divsChild>
    </w:div>
    <w:div w:id="313417992">
      <w:bodyDiv w:val="1"/>
      <w:marLeft w:val="0"/>
      <w:marRight w:val="0"/>
      <w:marTop w:val="0"/>
      <w:marBottom w:val="0"/>
      <w:divBdr>
        <w:top w:val="none" w:sz="0" w:space="0" w:color="auto"/>
        <w:left w:val="none" w:sz="0" w:space="0" w:color="auto"/>
        <w:bottom w:val="none" w:sz="0" w:space="0" w:color="auto"/>
        <w:right w:val="none" w:sz="0" w:space="0" w:color="auto"/>
      </w:divBdr>
      <w:divsChild>
        <w:div w:id="58217657">
          <w:marLeft w:val="0"/>
          <w:marRight w:val="0"/>
          <w:marTop w:val="0"/>
          <w:marBottom w:val="0"/>
          <w:divBdr>
            <w:top w:val="none" w:sz="0" w:space="0" w:color="auto"/>
            <w:left w:val="none" w:sz="0" w:space="0" w:color="auto"/>
            <w:bottom w:val="none" w:sz="0" w:space="0" w:color="auto"/>
            <w:right w:val="none" w:sz="0" w:space="0" w:color="auto"/>
          </w:divBdr>
        </w:div>
        <w:div w:id="1683892751">
          <w:marLeft w:val="0"/>
          <w:marRight w:val="0"/>
          <w:marTop w:val="0"/>
          <w:marBottom w:val="0"/>
          <w:divBdr>
            <w:top w:val="none" w:sz="0" w:space="0" w:color="auto"/>
            <w:left w:val="none" w:sz="0" w:space="0" w:color="auto"/>
            <w:bottom w:val="none" w:sz="0" w:space="0" w:color="auto"/>
            <w:right w:val="none" w:sz="0" w:space="0" w:color="auto"/>
          </w:divBdr>
        </w:div>
      </w:divsChild>
    </w:div>
    <w:div w:id="338510838">
      <w:bodyDiv w:val="1"/>
      <w:marLeft w:val="0"/>
      <w:marRight w:val="0"/>
      <w:marTop w:val="0"/>
      <w:marBottom w:val="0"/>
      <w:divBdr>
        <w:top w:val="none" w:sz="0" w:space="0" w:color="auto"/>
        <w:left w:val="none" w:sz="0" w:space="0" w:color="auto"/>
        <w:bottom w:val="none" w:sz="0" w:space="0" w:color="auto"/>
        <w:right w:val="none" w:sz="0" w:space="0" w:color="auto"/>
      </w:divBdr>
      <w:divsChild>
        <w:div w:id="2080396600">
          <w:marLeft w:val="0"/>
          <w:marRight w:val="0"/>
          <w:marTop w:val="0"/>
          <w:marBottom w:val="0"/>
          <w:divBdr>
            <w:top w:val="none" w:sz="0" w:space="0" w:color="auto"/>
            <w:left w:val="none" w:sz="0" w:space="0" w:color="auto"/>
            <w:bottom w:val="none" w:sz="0" w:space="0" w:color="auto"/>
            <w:right w:val="none" w:sz="0" w:space="0" w:color="auto"/>
          </w:divBdr>
        </w:div>
        <w:div w:id="1917473134">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363747563">
      <w:bodyDiv w:val="1"/>
      <w:marLeft w:val="0"/>
      <w:marRight w:val="0"/>
      <w:marTop w:val="0"/>
      <w:marBottom w:val="0"/>
      <w:divBdr>
        <w:top w:val="none" w:sz="0" w:space="0" w:color="auto"/>
        <w:left w:val="none" w:sz="0" w:space="0" w:color="auto"/>
        <w:bottom w:val="none" w:sz="0" w:space="0" w:color="auto"/>
        <w:right w:val="none" w:sz="0" w:space="0" w:color="auto"/>
      </w:divBdr>
      <w:divsChild>
        <w:div w:id="134835996">
          <w:marLeft w:val="0"/>
          <w:marRight w:val="0"/>
          <w:marTop w:val="0"/>
          <w:marBottom w:val="0"/>
          <w:divBdr>
            <w:top w:val="none" w:sz="0" w:space="0" w:color="auto"/>
            <w:left w:val="none" w:sz="0" w:space="0" w:color="auto"/>
            <w:bottom w:val="none" w:sz="0" w:space="0" w:color="auto"/>
            <w:right w:val="none" w:sz="0" w:space="0" w:color="auto"/>
          </w:divBdr>
        </w:div>
        <w:div w:id="566764567">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598219831">
      <w:bodyDiv w:val="1"/>
      <w:marLeft w:val="0"/>
      <w:marRight w:val="0"/>
      <w:marTop w:val="0"/>
      <w:marBottom w:val="0"/>
      <w:divBdr>
        <w:top w:val="none" w:sz="0" w:space="0" w:color="auto"/>
        <w:left w:val="none" w:sz="0" w:space="0" w:color="auto"/>
        <w:bottom w:val="none" w:sz="0" w:space="0" w:color="auto"/>
        <w:right w:val="none" w:sz="0" w:space="0" w:color="auto"/>
      </w:divBdr>
      <w:divsChild>
        <w:div w:id="1951627204">
          <w:marLeft w:val="0"/>
          <w:marRight w:val="0"/>
          <w:marTop w:val="0"/>
          <w:marBottom w:val="0"/>
          <w:divBdr>
            <w:top w:val="none" w:sz="0" w:space="0" w:color="auto"/>
            <w:left w:val="none" w:sz="0" w:space="0" w:color="auto"/>
            <w:bottom w:val="none" w:sz="0" w:space="0" w:color="auto"/>
            <w:right w:val="none" w:sz="0" w:space="0" w:color="auto"/>
          </w:divBdr>
        </w:div>
        <w:div w:id="1132527814">
          <w:marLeft w:val="0"/>
          <w:marRight w:val="0"/>
          <w:marTop w:val="0"/>
          <w:marBottom w:val="0"/>
          <w:divBdr>
            <w:top w:val="none" w:sz="0" w:space="0" w:color="auto"/>
            <w:left w:val="none" w:sz="0" w:space="0" w:color="auto"/>
            <w:bottom w:val="none" w:sz="0" w:space="0" w:color="auto"/>
            <w:right w:val="none" w:sz="0" w:space="0" w:color="auto"/>
          </w:divBdr>
        </w:div>
      </w:divsChild>
    </w:div>
    <w:div w:id="623534721">
      <w:bodyDiv w:val="1"/>
      <w:marLeft w:val="0"/>
      <w:marRight w:val="0"/>
      <w:marTop w:val="0"/>
      <w:marBottom w:val="0"/>
      <w:divBdr>
        <w:top w:val="none" w:sz="0" w:space="0" w:color="auto"/>
        <w:left w:val="none" w:sz="0" w:space="0" w:color="auto"/>
        <w:bottom w:val="none" w:sz="0" w:space="0" w:color="auto"/>
        <w:right w:val="none" w:sz="0" w:space="0" w:color="auto"/>
      </w:divBdr>
      <w:divsChild>
        <w:div w:id="1408192139">
          <w:marLeft w:val="0"/>
          <w:marRight w:val="0"/>
          <w:marTop w:val="0"/>
          <w:marBottom w:val="0"/>
          <w:divBdr>
            <w:top w:val="none" w:sz="0" w:space="0" w:color="auto"/>
            <w:left w:val="none" w:sz="0" w:space="0" w:color="auto"/>
            <w:bottom w:val="none" w:sz="0" w:space="0" w:color="auto"/>
            <w:right w:val="none" w:sz="0" w:space="0" w:color="auto"/>
          </w:divBdr>
        </w:div>
        <w:div w:id="1022899315">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832531371">
      <w:bodyDiv w:val="1"/>
      <w:marLeft w:val="0"/>
      <w:marRight w:val="0"/>
      <w:marTop w:val="0"/>
      <w:marBottom w:val="0"/>
      <w:divBdr>
        <w:top w:val="none" w:sz="0" w:space="0" w:color="auto"/>
        <w:left w:val="none" w:sz="0" w:space="0" w:color="auto"/>
        <w:bottom w:val="none" w:sz="0" w:space="0" w:color="auto"/>
        <w:right w:val="none" w:sz="0" w:space="0" w:color="auto"/>
      </w:divBdr>
      <w:divsChild>
        <w:div w:id="146289135">
          <w:marLeft w:val="0"/>
          <w:marRight w:val="0"/>
          <w:marTop w:val="0"/>
          <w:marBottom w:val="0"/>
          <w:divBdr>
            <w:top w:val="none" w:sz="0" w:space="0" w:color="auto"/>
            <w:left w:val="none" w:sz="0" w:space="0" w:color="auto"/>
            <w:bottom w:val="none" w:sz="0" w:space="0" w:color="auto"/>
            <w:right w:val="none" w:sz="0" w:space="0" w:color="auto"/>
          </w:divBdr>
        </w:div>
        <w:div w:id="812212495">
          <w:marLeft w:val="0"/>
          <w:marRight w:val="0"/>
          <w:marTop w:val="0"/>
          <w:marBottom w:val="0"/>
          <w:divBdr>
            <w:top w:val="none" w:sz="0" w:space="0" w:color="auto"/>
            <w:left w:val="none" w:sz="0" w:space="0" w:color="auto"/>
            <w:bottom w:val="none" w:sz="0" w:space="0" w:color="auto"/>
            <w:right w:val="none" w:sz="0" w:space="0" w:color="auto"/>
          </w:divBdr>
        </w:div>
      </w:divsChild>
    </w:div>
    <w:div w:id="857960621">
      <w:bodyDiv w:val="1"/>
      <w:marLeft w:val="0"/>
      <w:marRight w:val="0"/>
      <w:marTop w:val="0"/>
      <w:marBottom w:val="0"/>
      <w:divBdr>
        <w:top w:val="none" w:sz="0" w:space="0" w:color="auto"/>
        <w:left w:val="none" w:sz="0" w:space="0" w:color="auto"/>
        <w:bottom w:val="none" w:sz="0" w:space="0" w:color="auto"/>
        <w:right w:val="none" w:sz="0" w:space="0" w:color="auto"/>
      </w:divBdr>
      <w:divsChild>
        <w:div w:id="1224637139">
          <w:marLeft w:val="0"/>
          <w:marRight w:val="0"/>
          <w:marTop w:val="0"/>
          <w:marBottom w:val="0"/>
          <w:divBdr>
            <w:top w:val="none" w:sz="0" w:space="0" w:color="auto"/>
            <w:left w:val="none" w:sz="0" w:space="0" w:color="auto"/>
            <w:bottom w:val="none" w:sz="0" w:space="0" w:color="auto"/>
            <w:right w:val="none" w:sz="0" w:space="0" w:color="auto"/>
          </w:divBdr>
        </w:div>
        <w:div w:id="599066032">
          <w:marLeft w:val="0"/>
          <w:marRight w:val="0"/>
          <w:marTop w:val="0"/>
          <w:marBottom w:val="0"/>
          <w:divBdr>
            <w:top w:val="none" w:sz="0" w:space="0" w:color="auto"/>
            <w:left w:val="none" w:sz="0" w:space="0" w:color="auto"/>
            <w:bottom w:val="none" w:sz="0" w:space="0" w:color="auto"/>
            <w:right w:val="none" w:sz="0" w:space="0" w:color="auto"/>
          </w:divBdr>
        </w:div>
      </w:divsChild>
    </w:div>
    <w:div w:id="876745805">
      <w:bodyDiv w:val="1"/>
      <w:marLeft w:val="0"/>
      <w:marRight w:val="0"/>
      <w:marTop w:val="0"/>
      <w:marBottom w:val="0"/>
      <w:divBdr>
        <w:top w:val="none" w:sz="0" w:space="0" w:color="auto"/>
        <w:left w:val="none" w:sz="0" w:space="0" w:color="auto"/>
        <w:bottom w:val="none" w:sz="0" w:space="0" w:color="auto"/>
        <w:right w:val="none" w:sz="0" w:space="0" w:color="auto"/>
      </w:divBdr>
      <w:divsChild>
        <w:div w:id="1386177335">
          <w:marLeft w:val="0"/>
          <w:marRight w:val="0"/>
          <w:marTop w:val="0"/>
          <w:marBottom w:val="0"/>
          <w:divBdr>
            <w:top w:val="none" w:sz="0" w:space="0" w:color="auto"/>
            <w:left w:val="none" w:sz="0" w:space="0" w:color="auto"/>
            <w:bottom w:val="none" w:sz="0" w:space="0" w:color="auto"/>
            <w:right w:val="none" w:sz="0" w:space="0" w:color="auto"/>
          </w:divBdr>
        </w:div>
        <w:div w:id="1839349028">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61468595">
      <w:bodyDiv w:val="1"/>
      <w:marLeft w:val="0"/>
      <w:marRight w:val="0"/>
      <w:marTop w:val="0"/>
      <w:marBottom w:val="0"/>
      <w:divBdr>
        <w:top w:val="none" w:sz="0" w:space="0" w:color="auto"/>
        <w:left w:val="none" w:sz="0" w:space="0" w:color="auto"/>
        <w:bottom w:val="none" w:sz="0" w:space="0" w:color="auto"/>
        <w:right w:val="none" w:sz="0" w:space="0" w:color="auto"/>
      </w:divBdr>
      <w:divsChild>
        <w:div w:id="1533768617">
          <w:marLeft w:val="0"/>
          <w:marRight w:val="0"/>
          <w:marTop w:val="0"/>
          <w:marBottom w:val="0"/>
          <w:divBdr>
            <w:top w:val="none" w:sz="0" w:space="0" w:color="auto"/>
            <w:left w:val="none" w:sz="0" w:space="0" w:color="auto"/>
            <w:bottom w:val="none" w:sz="0" w:space="0" w:color="auto"/>
            <w:right w:val="none" w:sz="0" w:space="0" w:color="auto"/>
          </w:divBdr>
        </w:div>
        <w:div w:id="1358702170">
          <w:marLeft w:val="0"/>
          <w:marRight w:val="0"/>
          <w:marTop w:val="0"/>
          <w:marBottom w:val="0"/>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25303504">
      <w:bodyDiv w:val="1"/>
      <w:marLeft w:val="0"/>
      <w:marRight w:val="0"/>
      <w:marTop w:val="0"/>
      <w:marBottom w:val="0"/>
      <w:divBdr>
        <w:top w:val="none" w:sz="0" w:space="0" w:color="auto"/>
        <w:left w:val="none" w:sz="0" w:space="0" w:color="auto"/>
        <w:bottom w:val="none" w:sz="0" w:space="0" w:color="auto"/>
        <w:right w:val="none" w:sz="0" w:space="0" w:color="auto"/>
      </w:divBdr>
      <w:divsChild>
        <w:div w:id="1962371586">
          <w:marLeft w:val="0"/>
          <w:marRight w:val="0"/>
          <w:marTop w:val="0"/>
          <w:marBottom w:val="0"/>
          <w:divBdr>
            <w:top w:val="none" w:sz="0" w:space="0" w:color="auto"/>
            <w:left w:val="none" w:sz="0" w:space="0" w:color="auto"/>
            <w:bottom w:val="none" w:sz="0" w:space="0" w:color="auto"/>
            <w:right w:val="none" w:sz="0" w:space="0" w:color="auto"/>
          </w:divBdr>
        </w:div>
        <w:div w:id="2138716389">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1953131204">
      <w:bodyDiv w:val="1"/>
      <w:marLeft w:val="0"/>
      <w:marRight w:val="0"/>
      <w:marTop w:val="0"/>
      <w:marBottom w:val="0"/>
      <w:divBdr>
        <w:top w:val="none" w:sz="0" w:space="0" w:color="auto"/>
        <w:left w:val="none" w:sz="0" w:space="0" w:color="auto"/>
        <w:bottom w:val="none" w:sz="0" w:space="0" w:color="auto"/>
        <w:right w:val="none" w:sz="0" w:space="0" w:color="auto"/>
      </w:divBdr>
      <w:divsChild>
        <w:div w:id="2056850906">
          <w:marLeft w:val="0"/>
          <w:marRight w:val="0"/>
          <w:marTop w:val="0"/>
          <w:marBottom w:val="0"/>
          <w:divBdr>
            <w:top w:val="none" w:sz="0" w:space="0" w:color="auto"/>
            <w:left w:val="none" w:sz="0" w:space="0" w:color="auto"/>
            <w:bottom w:val="none" w:sz="0" w:space="0" w:color="auto"/>
            <w:right w:val="none" w:sz="0" w:space="0" w:color="auto"/>
          </w:divBdr>
        </w:div>
        <w:div w:id="1802647028">
          <w:marLeft w:val="0"/>
          <w:marRight w:val="0"/>
          <w:marTop w:val="0"/>
          <w:marBottom w:val="0"/>
          <w:divBdr>
            <w:top w:val="none" w:sz="0" w:space="0" w:color="auto"/>
            <w:left w:val="none" w:sz="0" w:space="0" w:color="auto"/>
            <w:bottom w:val="none" w:sz="0" w:space="0" w:color="auto"/>
            <w:right w:val="none" w:sz="0" w:space="0" w:color="auto"/>
          </w:divBdr>
        </w:div>
      </w:divsChild>
    </w:div>
    <w:div w:id="1991251448">
      <w:bodyDiv w:val="1"/>
      <w:marLeft w:val="0"/>
      <w:marRight w:val="0"/>
      <w:marTop w:val="0"/>
      <w:marBottom w:val="0"/>
      <w:divBdr>
        <w:top w:val="none" w:sz="0" w:space="0" w:color="auto"/>
        <w:left w:val="none" w:sz="0" w:space="0" w:color="auto"/>
        <w:bottom w:val="none" w:sz="0" w:space="0" w:color="auto"/>
        <w:right w:val="none" w:sz="0" w:space="0" w:color="auto"/>
      </w:divBdr>
      <w:divsChild>
        <w:div w:id="2099448049">
          <w:marLeft w:val="0"/>
          <w:marRight w:val="0"/>
          <w:marTop w:val="0"/>
          <w:marBottom w:val="0"/>
          <w:divBdr>
            <w:top w:val="none" w:sz="0" w:space="0" w:color="auto"/>
            <w:left w:val="none" w:sz="0" w:space="0" w:color="auto"/>
            <w:bottom w:val="none" w:sz="0" w:space="0" w:color="auto"/>
            <w:right w:val="none" w:sz="0" w:space="0" w:color="auto"/>
          </w:divBdr>
        </w:div>
        <w:div w:id="157813247">
          <w:marLeft w:val="0"/>
          <w:marRight w:val="0"/>
          <w:marTop w:val="0"/>
          <w:marBottom w:val="0"/>
          <w:divBdr>
            <w:top w:val="none" w:sz="0" w:space="0" w:color="auto"/>
            <w:left w:val="none" w:sz="0" w:space="0" w:color="auto"/>
            <w:bottom w:val="none" w:sz="0" w:space="0" w:color="auto"/>
            <w:right w:val="none" w:sz="0" w:space="0" w:color="auto"/>
          </w:divBdr>
        </w:div>
      </w:divsChild>
    </w:div>
    <w:div w:id="2121294356">
      <w:bodyDiv w:val="1"/>
      <w:marLeft w:val="0"/>
      <w:marRight w:val="0"/>
      <w:marTop w:val="0"/>
      <w:marBottom w:val="0"/>
      <w:divBdr>
        <w:top w:val="none" w:sz="0" w:space="0" w:color="auto"/>
        <w:left w:val="none" w:sz="0" w:space="0" w:color="auto"/>
        <w:bottom w:val="none" w:sz="0" w:space="0" w:color="auto"/>
        <w:right w:val="none" w:sz="0" w:space="0" w:color="auto"/>
      </w:divBdr>
    </w:div>
    <w:div w:id="2121993511">
      <w:bodyDiv w:val="1"/>
      <w:marLeft w:val="0"/>
      <w:marRight w:val="0"/>
      <w:marTop w:val="0"/>
      <w:marBottom w:val="0"/>
      <w:divBdr>
        <w:top w:val="none" w:sz="0" w:space="0" w:color="auto"/>
        <w:left w:val="none" w:sz="0" w:space="0" w:color="auto"/>
        <w:bottom w:val="none" w:sz="0" w:space="0" w:color="auto"/>
        <w:right w:val="none" w:sz="0" w:space="0" w:color="auto"/>
      </w:divBdr>
      <w:divsChild>
        <w:div w:id="1407655208">
          <w:marLeft w:val="0"/>
          <w:marRight w:val="0"/>
          <w:marTop w:val="0"/>
          <w:marBottom w:val="0"/>
          <w:divBdr>
            <w:top w:val="none" w:sz="0" w:space="0" w:color="auto"/>
            <w:left w:val="none" w:sz="0" w:space="0" w:color="auto"/>
            <w:bottom w:val="none" w:sz="0" w:space="0" w:color="auto"/>
            <w:right w:val="none" w:sz="0" w:space="0" w:color="auto"/>
          </w:divBdr>
        </w:div>
        <w:div w:id="123088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A65F4-A5EC-470C-9CA6-65EA9BAB6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7</Pages>
  <Words>2383</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120</cp:revision>
  <cp:lastPrinted>2022-10-28T02:05:00Z</cp:lastPrinted>
  <dcterms:created xsi:type="dcterms:W3CDTF">2022-04-25T07:37:00Z</dcterms:created>
  <dcterms:modified xsi:type="dcterms:W3CDTF">2022-11-23T07:39:00Z</dcterms:modified>
</cp:coreProperties>
</file>